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3CA6" w14:textId="05943C5E" w:rsidR="00DC1F6A" w:rsidRPr="00DC1F6A" w:rsidRDefault="009728A4" w:rsidP="00F565A1">
      <w:pPr>
        <w:spacing w:after="120" w:line="360" w:lineRule="auto"/>
        <w:ind w:left="567" w:right="2262"/>
        <w:rPr>
          <w:rFonts w:ascii="Arial" w:hAnsi="Arial" w:cs="Arial"/>
          <w:b/>
          <w:bCs/>
          <w:sz w:val="28"/>
          <w:szCs w:val="28"/>
        </w:rPr>
      </w:pPr>
      <w:r>
        <w:rPr>
          <w:rFonts w:ascii="Arial" w:hAnsi="Arial"/>
          <w:b/>
          <w:sz w:val="28"/>
        </w:rPr>
        <w:t xml:space="preserve">Centaya-C pour le semis combiné </w:t>
      </w:r>
    </w:p>
    <w:p w14:paraId="17B8548F" w14:textId="594C172C" w:rsidR="0000547E" w:rsidRDefault="0000547E" w:rsidP="00F565A1">
      <w:pPr>
        <w:spacing w:after="120" w:line="360" w:lineRule="auto"/>
        <w:ind w:left="567" w:right="1695"/>
        <w:rPr>
          <w:rFonts w:ascii="Arial" w:eastAsia="Arial" w:hAnsi="Arial" w:cs="Arial"/>
        </w:rPr>
      </w:pPr>
    </w:p>
    <w:p w14:paraId="380DDADC" w14:textId="2F7EF979" w:rsidR="00592E2D" w:rsidRDefault="00F565A1" w:rsidP="00F565A1">
      <w:pPr>
        <w:spacing w:after="120" w:line="360" w:lineRule="auto"/>
        <w:ind w:left="567" w:right="1695"/>
        <w:rPr>
          <w:rFonts w:ascii="Arial" w:eastAsia="Arial" w:hAnsi="Arial" w:cs="Arial"/>
        </w:rPr>
      </w:pPr>
      <w:r>
        <w:rPr>
          <w:rFonts w:ascii="Arial" w:hAnsi="Arial"/>
        </w:rPr>
        <w:t xml:space="preserve">Avec le nouveau Centaya-C, AMAZONE élargit sa gamme de semoirs pneumatiques compacts. La particularité de ce combiné de semis réside dans sa nouvelle trémie de 2 000 litres compartimentée en 2. Cette particularité rend possible l’application de plusieurs produits en un seul passage. Le nouveau Centaya-C Super est disponible en largeurs de travail de 3, 3,5 et 4 mètres. </w:t>
      </w:r>
    </w:p>
    <w:p w14:paraId="3472A67A" w14:textId="77777777" w:rsidR="00592E2D" w:rsidRDefault="00592E2D" w:rsidP="00592E2D">
      <w:pPr>
        <w:spacing w:after="120" w:line="360" w:lineRule="auto"/>
        <w:ind w:left="567" w:right="1695"/>
        <w:rPr>
          <w:rFonts w:ascii="Arial" w:eastAsia="Arial" w:hAnsi="Arial" w:cs="Arial"/>
          <w:b/>
        </w:rPr>
      </w:pPr>
    </w:p>
    <w:p w14:paraId="4AF1AC7A" w14:textId="56F10173" w:rsidR="00592E2D" w:rsidRPr="00F565A1" w:rsidRDefault="007602A7" w:rsidP="00592E2D">
      <w:pPr>
        <w:spacing w:after="120" w:line="360" w:lineRule="auto"/>
        <w:ind w:left="567" w:right="1695"/>
        <w:rPr>
          <w:rFonts w:ascii="Arial" w:eastAsia="Arial" w:hAnsi="Arial" w:cs="Arial"/>
          <w:b/>
        </w:rPr>
      </w:pPr>
      <w:r>
        <w:rPr>
          <w:rFonts w:ascii="Arial" w:hAnsi="Arial"/>
          <w:b/>
        </w:rPr>
        <w:t xml:space="preserve">Une large plage d'utilisation </w:t>
      </w:r>
    </w:p>
    <w:p w14:paraId="6FBCF2E4" w14:textId="2E259D38" w:rsidR="00F565A1" w:rsidRPr="00F565A1" w:rsidRDefault="006A0519" w:rsidP="00F565A1">
      <w:pPr>
        <w:spacing w:after="120" w:line="360" w:lineRule="auto"/>
        <w:ind w:left="567" w:right="1695"/>
        <w:rPr>
          <w:rFonts w:ascii="Arial" w:eastAsia="Arial" w:hAnsi="Arial" w:cs="Arial"/>
        </w:rPr>
      </w:pPr>
      <w:r>
        <w:rPr>
          <w:rFonts w:ascii="Arial" w:hAnsi="Arial"/>
        </w:rPr>
        <w:t xml:space="preserve">Suite aux défis croissants auxquels est confrontée la production végétale,, les exigences vis-à-vis de la technique de semis, à la base de rendements maxima, progressent constamment. Ainsi un dosage précis de la semence et une implantation précise en profondeur ont une priorité maximale. De même un accent particulier est mis sur l’application simultanée de plusieurs semences ou l’apport parallèle d’engrais avec le semis. Le nouveau Centaya-C Super, avec sa trémie 2 compartiments, offre désormais la possibilité d’appliquer, en plus de la semence principale, des plantes compagnes et des cultures dérobées qui représentent un grand avantage pour augmenter la protection face à l’érosion, étouffer les adventices, mais aussi favoriser la biodiversité. En outre, l’apport simultané d’engrais est une solution efficace qui favorise un développement rapide des plantules et des taux de levée importants dans le champ. Pour l’agriculteur et l’entrepreneur, cette technique de semis permet des méthodes agronomiques différentes et une flexibilité élevée pour associer la semence et l’engrais. La réduction du nombre de passages génère par ailleurs une économie de carburant et de temps. </w:t>
      </w:r>
    </w:p>
    <w:p w14:paraId="29F429BA" w14:textId="77777777" w:rsidR="00F565A1" w:rsidRPr="00F565A1" w:rsidRDefault="00F565A1" w:rsidP="00F565A1">
      <w:pPr>
        <w:spacing w:after="120" w:line="360" w:lineRule="auto"/>
        <w:ind w:left="567" w:right="1695"/>
        <w:rPr>
          <w:rFonts w:ascii="Arial" w:eastAsia="Arial" w:hAnsi="Arial" w:cs="Arial"/>
        </w:rPr>
      </w:pPr>
    </w:p>
    <w:p w14:paraId="5E00CFC7" w14:textId="39216F78" w:rsidR="00AF6F58" w:rsidRPr="00F565A1" w:rsidRDefault="00F565A1" w:rsidP="00AF6F58">
      <w:pPr>
        <w:spacing w:after="120" w:line="360" w:lineRule="auto"/>
        <w:ind w:left="567" w:right="1695"/>
        <w:rPr>
          <w:rFonts w:ascii="Arial" w:eastAsia="Arial" w:hAnsi="Arial" w:cs="Arial"/>
          <w:b/>
        </w:rPr>
      </w:pPr>
      <w:r>
        <w:rPr>
          <w:rFonts w:ascii="Arial" w:hAnsi="Arial"/>
          <w:b/>
        </w:rPr>
        <w:t xml:space="preserve">Jusqu’à trois points d’application différents </w:t>
      </w:r>
    </w:p>
    <w:p w14:paraId="4D8DBCDE" w14:textId="3B03982C" w:rsidR="00F565A1" w:rsidRPr="00F565A1" w:rsidRDefault="0051779D" w:rsidP="00F565A1">
      <w:pPr>
        <w:spacing w:after="120" w:line="360" w:lineRule="auto"/>
        <w:ind w:left="567" w:right="1695"/>
        <w:rPr>
          <w:rFonts w:ascii="Arial" w:eastAsia="Arial" w:hAnsi="Arial" w:cs="Arial"/>
        </w:rPr>
      </w:pPr>
      <w:r>
        <w:rPr>
          <w:rFonts w:ascii="Arial" w:hAnsi="Arial"/>
        </w:rPr>
        <w:t>Le Centaya-C Super peut être équipé au choix du monodisque RoTeC pro ou du double disque TwinTeC.</w:t>
      </w:r>
    </w:p>
    <w:p w14:paraId="51937DF8" w14:textId="16C3448F" w:rsidR="00F565A1" w:rsidRPr="00F565A1" w:rsidRDefault="00F565A1" w:rsidP="00F565A1">
      <w:pPr>
        <w:spacing w:after="120" w:line="360" w:lineRule="auto"/>
        <w:ind w:left="567" w:right="1695"/>
        <w:rPr>
          <w:rFonts w:ascii="Arial" w:eastAsia="Arial" w:hAnsi="Arial" w:cs="Arial"/>
        </w:rPr>
      </w:pPr>
      <w:r>
        <w:rPr>
          <w:rFonts w:ascii="Arial" w:hAnsi="Arial"/>
        </w:rPr>
        <w:lastRenderedPageBreak/>
        <w:t>Le disque RoTeC pro de 400 mm permet l’application de deux produits en procédé Single-Shoot. Dans ce cas, les différents produits sont dosés individuellement et guidés via la même descente d’alimentation jusque dans le monodisque et le point d’application. Ainsi par exemple, un petit volume d’engrais peut être implanté directement au niveau de la graine.</w:t>
      </w:r>
    </w:p>
    <w:p w14:paraId="69D21959" w14:textId="45D27AD7" w:rsidR="00EA35A2" w:rsidRPr="004130A7" w:rsidRDefault="00F565A1" w:rsidP="005D0183">
      <w:pPr>
        <w:spacing w:after="120" w:line="360" w:lineRule="auto"/>
        <w:ind w:left="567" w:right="1695"/>
        <w:rPr>
          <w:rFonts w:ascii="Arial" w:eastAsia="Arial" w:hAnsi="Arial" w:cs="Arial"/>
        </w:rPr>
      </w:pPr>
      <w:r>
        <w:rPr>
          <w:rFonts w:ascii="Arial" w:hAnsi="Arial"/>
        </w:rPr>
        <w:t>Avec le double disque TwinTeC, il est même possible d’appliquer, sur deux points différents, deux semences différentes ou une semence et un engrais en procédé Double-Shoot. Le premier produit est implanté dans le sol par le biais du TwinTeC ; le deuxième produit, amené par une descente d’alimentation séparée à une sortie supplémentaire au niveau du disque TwinTeC, est implanté dans le sol devant la roue de jauge. Grâce à cette application décalée, l’engrais peut par exemple être implanté de façon ciblée pour une alimentation globale de la plante.</w:t>
      </w:r>
    </w:p>
    <w:p w14:paraId="28D1CE16" w14:textId="185485A9" w:rsidR="005D0183" w:rsidRDefault="00EA35A2" w:rsidP="005D0183">
      <w:pPr>
        <w:spacing w:after="120" w:line="360" w:lineRule="auto"/>
        <w:ind w:left="567" w:right="1695"/>
        <w:rPr>
          <w:rFonts w:ascii="Arial" w:eastAsia="Arial" w:hAnsi="Arial" w:cs="Arial"/>
        </w:rPr>
      </w:pPr>
      <w:r>
        <w:rPr>
          <w:rFonts w:ascii="Arial" w:hAnsi="Arial"/>
        </w:rPr>
        <w:t xml:space="preserve">Pour le semis simultané d’intercultures ou de semences fines graines, le Centaya-C Super peut être en plus utilisé avec le semoir d’intercultures GreenDrill 200. Ce combiné permet d’appliquer à la surface du sol un troisième produit par le biais du diffuseur. La semence est guidée directement jusqu’aux diffuseurs derrière le semoir, à partir de la trémie compacte de 200 litres. </w:t>
      </w:r>
    </w:p>
    <w:p w14:paraId="45C13F5F" w14:textId="77777777" w:rsidR="00242A1D" w:rsidRPr="00F565A1" w:rsidRDefault="00242A1D" w:rsidP="005D0183">
      <w:pPr>
        <w:spacing w:after="120" w:line="360" w:lineRule="auto"/>
        <w:ind w:left="567" w:right="1695"/>
        <w:rPr>
          <w:rFonts w:ascii="Arial" w:eastAsia="Arial" w:hAnsi="Arial" w:cs="Arial"/>
          <w:b/>
        </w:rPr>
      </w:pPr>
    </w:p>
    <w:p w14:paraId="13DBF2D8" w14:textId="77777777" w:rsidR="005D0183" w:rsidRPr="00F565A1" w:rsidRDefault="005D0183" w:rsidP="005D0183">
      <w:pPr>
        <w:spacing w:after="120" w:line="360" w:lineRule="auto"/>
        <w:ind w:left="567" w:right="1695"/>
        <w:rPr>
          <w:rFonts w:ascii="Arial" w:eastAsia="Arial" w:hAnsi="Arial" w:cs="Arial"/>
          <w:b/>
        </w:rPr>
      </w:pPr>
      <w:r>
        <w:rPr>
          <w:rFonts w:ascii="Arial" w:hAnsi="Arial"/>
          <w:b/>
        </w:rPr>
        <w:t>Précis, intelligent et performant</w:t>
      </w:r>
    </w:p>
    <w:p w14:paraId="77FFFB91" w14:textId="24688A9A" w:rsidR="005D0183" w:rsidRPr="00F565A1" w:rsidRDefault="005D0183" w:rsidP="005D0183">
      <w:pPr>
        <w:spacing w:after="120" w:line="360" w:lineRule="auto"/>
        <w:ind w:left="567" w:right="1695"/>
        <w:rPr>
          <w:rFonts w:ascii="Arial" w:eastAsia="Arial" w:hAnsi="Arial" w:cs="Arial"/>
        </w:rPr>
      </w:pPr>
      <w:r>
        <w:rPr>
          <w:rFonts w:ascii="Arial" w:hAnsi="Arial"/>
        </w:rPr>
        <w:t>Sur le Centaya-C Super piloté ISOBUS, le dosage des différents produits est réalisé séparément et avec précision, par le biais de l’unité de dosage électrique, réglable en continu, avec des densités de semis de 0,5 à 400 kg/ ha. Avec des inter-rangs de 12,5 et 15 cm, le Centaya-C Super atteint des vitesses de travail jusqu’à 12 km/h.</w:t>
      </w:r>
    </w:p>
    <w:p w14:paraId="2489C858" w14:textId="77777777" w:rsidR="00A855F8" w:rsidRDefault="00A855F8" w:rsidP="005D0183">
      <w:pPr>
        <w:spacing w:after="120" w:line="360" w:lineRule="auto"/>
        <w:ind w:left="567" w:right="1695"/>
        <w:rPr>
          <w:rFonts w:ascii="Arial" w:eastAsia="Arial" w:hAnsi="Arial" w:cs="Arial"/>
        </w:rPr>
      </w:pPr>
    </w:p>
    <w:p w14:paraId="2E758F52" w14:textId="22274BC7" w:rsidR="00600350" w:rsidRPr="004130A7" w:rsidRDefault="005D0183" w:rsidP="00600350">
      <w:pPr>
        <w:tabs>
          <w:tab w:val="left" w:pos="3550"/>
        </w:tabs>
        <w:spacing w:line="360" w:lineRule="auto"/>
        <w:ind w:left="567" w:right="1411"/>
        <w:rPr>
          <w:rFonts w:ascii="Arial" w:hAnsi="Arial"/>
          <w:bCs/>
        </w:rPr>
      </w:pPr>
      <w:r>
        <w:rPr>
          <w:rFonts w:ascii="Arial" w:hAnsi="Arial"/>
        </w:rPr>
        <w:t xml:space="preserve">Le remplissage est confortable grâce à la grande ouverture de trémie. La trémie et les différentes unités de dosage sont faciles à atteindre en passant par la passerelle. L’étalonnage ainsi que le réglage machine sont conviviaux et précis via le SmartCenter. Les débits et les régimes sont clairement affichés sur le terminal </w:t>
      </w:r>
      <w:r>
        <w:rPr>
          <w:rFonts w:ascii="Arial" w:hAnsi="Arial"/>
        </w:rPr>
        <w:lastRenderedPageBreak/>
        <w:t>ISOBUS AmaTron 4 Amazone. Le conducteur modifie facilement le débit de semis durant le chantier, depuis la cabine du tracteur.</w:t>
      </w:r>
    </w:p>
    <w:p w14:paraId="6F081846" w14:textId="77777777" w:rsidR="00600350" w:rsidRPr="004130A7" w:rsidRDefault="00600350" w:rsidP="005D0183">
      <w:pPr>
        <w:spacing w:after="120" w:line="360" w:lineRule="auto"/>
        <w:ind w:left="567" w:right="1695"/>
        <w:rPr>
          <w:rFonts w:ascii="Arial" w:eastAsia="Arial" w:hAnsi="Arial" w:cs="Arial"/>
        </w:rPr>
      </w:pPr>
    </w:p>
    <w:p w14:paraId="1700F682" w14:textId="58722801" w:rsidR="005D0183" w:rsidRDefault="005D0183" w:rsidP="005D0183">
      <w:pPr>
        <w:spacing w:after="120" w:line="360" w:lineRule="auto"/>
        <w:ind w:left="567" w:right="1695"/>
        <w:rPr>
          <w:rFonts w:ascii="Arial" w:eastAsia="Arial" w:hAnsi="Arial" w:cs="Arial"/>
        </w:rPr>
      </w:pPr>
      <w:r>
        <w:rPr>
          <w:rFonts w:ascii="Arial" w:hAnsi="Arial"/>
        </w:rPr>
        <w:t>Le semoir peut être équipé d’une vidange rapide qui permet un changement rapide de semence durant le chantier. Un compartiment de stockage est disponible en option pour disposer d'une réserve de sacs de semence.</w:t>
      </w:r>
    </w:p>
    <w:p w14:paraId="0D2C772C" w14:textId="77777777" w:rsidR="001A47FA" w:rsidRPr="00F565A1" w:rsidRDefault="001A47FA" w:rsidP="005D0183">
      <w:pPr>
        <w:spacing w:after="120" w:line="360" w:lineRule="auto"/>
        <w:ind w:left="567" w:right="1695"/>
        <w:rPr>
          <w:rFonts w:ascii="Arial" w:eastAsia="Arial" w:hAnsi="Arial" w:cs="Arial"/>
        </w:rPr>
      </w:pPr>
    </w:p>
    <w:p w14:paraId="1AFD8630" w14:textId="39578644" w:rsidR="005D0183" w:rsidRPr="00F565A1" w:rsidRDefault="005D0183" w:rsidP="005D0183">
      <w:pPr>
        <w:spacing w:after="120" w:line="360" w:lineRule="auto"/>
        <w:ind w:left="567" w:right="1695"/>
        <w:rPr>
          <w:rFonts w:ascii="Arial" w:eastAsia="Arial" w:hAnsi="Arial" w:cs="Arial"/>
        </w:rPr>
      </w:pPr>
      <w:r>
        <w:rPr>
          <w:rFonts w:ascii="Arial" w:hAnsi="Arial"/>
        </w:rPr>
        <w:t>Le Centaya-C Super est particulièrement performant grâce à sa trémie de 2 000 litres à 2 compartiments. La trémie est compartimentée individuellement en fonction des souhaits des clients avec un rapport 60/40 ou 70/30. La forme particulière et le positionnement proche du tracteur de la trémie en métal garantissent une faible puissance absorbée.</w:t>
      </w:r>
    </w:p>
    <w:p w14:paraId="49E9C906" w14:textId="77777777" w:rsidR="005D0183" w:rsidRPr="00F565A1" w:rsidRDefault="005D0183" w:rsidP="00F565A1">
      <w:pPr>
        <w:spacing w:after="120" w:line="360" w:lineRule="auto"/>
        <w:ind w:left="567" w:right="1695"/>
        <w:rPr>
          <w:rFonts w:ascii="Arial" w:eastAsia="Arial" w:hAnsi="Arial" w:cs="Arial"/>
        </w:rPr>
      </w:pPr>
    </w:p>
    <w:p w14:paraId="37A3F44F" w14:textId="1A1E78E9" w:rsidR="00F565A1" w:rsidRPr="002A51A7" w:rsidRDefault="00674F3E" w:rsidP="00F565A1">
      <w:pPr>
        <w:spacing w:after="120" w:line="360" w:lineRule="auto"/>
        <w:ind w:left="567" w:right="1695"/>
        <w:rPr>
          <w:rFonts w:ascii="Arial" w:eastAsia="Arial" w:hAnsi="Arial" w:cs="Arial"/>
          <w:b/>
        </w:rPr>
      </w:pPr>
      <w:r>
        <w:rPr>
          <w:rFonts w:ascii="Arial" w:hAnsi="Arial"/>
          <w:b/>
        </w:rPr>
        <w:t xml:space="preserve">Système de couplage rapide QuickLink </w:t>
      </w:r>
    </w:p>
    <w:p w14:paraId="27E048A0" w14:textId="0F48167C" w:rsidR="00F565A1" w:rsidRPr="00F565A1" w:rsidRDefault="00F565A1" w:rsidP="00F565A1">
      <w:pPr>
        <w:spacing w:after="120" w:line="360" w:lineRule="auto"/>
        <w:ind w:left="567" w:right="1695"/>
        <w:rPr>
          <w:rFonts w:ascii="Arial" w:eastAsia="Arial" w:hAnsi="Arial" w:cs="Arial"/>
        </w:rPr>
      </w:pPr>
      <w:r>
        <w:rPr>
          <w:rFonts w:ascii="Arial" w:hAnsi="Arial"/>
        </w:rPr>
        <w:t>Grâce au système de couplage rapide QuickLink, le semoir compact Centaya-C Super est couplé très facilement, rapidement et sans outil aux différents outils de préparation du sol Amazone. En fonction des conditions de sol, un combiné composé des modèles de herses rotatives KE 02 ou des cultivateurs rotatifs KG et KX est possible. Sur des sols très légers, le Centaya-C Super peut être utilisé avec le déchaumeur CombiDisc.</w:t>
      </w:r>
    </w:p>
    <w:p w14:paraId="624EF85E" w14:textId="77777777" w:rsidR="00F565A1" w:rsidRDefault="00F565A1" w:rsidP="00F565A1">
      <w:pPr>
        <w:spacing w:after="120" w:line="360" w:lineRule="auto"/>
        <w:ind w:left="567" w:right="2262"/>
        <w:rPr>
          <w:rFonts w:ascii="Arial" w:eastAsia="Arial" w:hAnsi="Arial" w:cs="Arial"/>
        </w:rPr>
      </w:pPr>
    </w:p>
    <w:p w14:paraId="2D102E60" w14:textId="7C4006E7" w:rsidR="009119D4" w:rsidRDefault="009119D4">
      <w:pPr>
        <w:rPr>
          <w:rFonts w:ascii="Arial" w:eastAsia="Arial" w:hAnsi="Arial" w:cs="Arial"/>
        </w:rPr>
      </w:pPr>
      <w:r>
        <w:rPr>
          <w:rFonts w:ascii="Arial" w:eastAsia="Arial" w:hAnsi="Arial" w:cs="Arial"/>
        </w:rPr>
        <w:br w:type="page"/>
      </w:r>
    </w:p>
    <w:p w14:paraId="3F55B651" w14:textId="68E682E4" w:rsidR="002A51A7" w:rsidRDefault="009119D4" w:rsidP="002A51A7">
      <w:pPr>
        <w:spacing w:after="120" w:line="360" w:lineRule="auto"/>
        <w:ind w:left="567" w:right="1695"/>
        <w:rPr>
          <w:rFonts w:ascii="Arial" w:eastAsia="Arial" w:hAnsi="Arial" w:cs="Arial"/>
        </w:rPr>
      </w:pPr>
      <w:r>
        <w:rPr>
          <w:rFonts w:ascii="Arial" w:eastAsia="Arial" w:hAnsi="Arial" w:cs="Arial"/>
          <w:noProof/>
          <w:lang w:val="de-DE"/>
        </w:rPr>
        <w:drawing>
          <wp:inline distT="0" distB="0" distL="0" distR="0" wp14:anchorId="2B072E6E" wp14:editId="785F883B">
            <wp:extent cx="5930265" cy="3957955"/>
            <wp:effectExtent l="0" t="0" r="0" b="4445"/>
            <wp:docPr id="6" name="Grafik 6" descr="Centaya3000-C-Super_d0_kw_DJI_0011_d1_220307_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aya3000-C-Super_d0_kw_DJI_0011_d1_220307_k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0265" cy="3957955"/>
                    </a:xfrm>
                    <a:prstGeom prst="rect">
                      <a:avLst/>
                    </a:prstGeom>
                    <a:noFill/>
                    <a:ln>
                      <a:noFill/>
                    </a:ln>
                  </pic:spPr>
                </pic:pic>
              </a:graphicData>
            </a:graphic>
          </wp:inline>
        </w:drawing>
      </w:r>
      <w:r>
        <w:rPr>
          <w:rFonts w:ascii="Arial" w:eastAsia="Arial" w:hAnsi="Arial" w:cs="Arial"/>
          <w:noProof/>
          <w:lang w:val="de-DE"/>
        </w:rPr>
        <w:drawing>
          <wp:inline distT="0" distB="0" distL="0" distR="0" wp14:anchorId="2D8D9543" wp14:editId="1B2B5848">
            <wp:extent cx="5094605" cy="3827145"/>
            <wp:effectExtent l="0" t="0" r="0" b="1905"/>
            <wp:docPr id="8" name="Grafik 8" descr="Centaya3000-C-Super_d0_kw_P2280773_d1_220307_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ntaya3000-C-Super_d0_kw_P2280773_d1_220307_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14:paraId="3FC07A84" w14:textId="5721CCD3" w:rsidR="00F565A1" w:rsidRDefault="00F565A1">
      <w:pPr>
        <w:rPr>
          <w:rFonts w:ascii="Arial" w:hAnsi="Arial" w:cs="Arial"/>
        </w:rPr>
      </w:pPr>
      <w:bookmarkStart w:id="0" w:name="_GoBack"/>
      <w:bookmarkEnd w:id="0"/>
      <w:r>
        <w:br w:type="page"/>
      </w:r>
    </w:p>
    <w:p w14:paraId="599DC592" w14:textId="77777777" w:rsidR="00760B66" w:rsidRDefault="00760B66" w:rsidP="00651DFC">
      <w:pPr>
        <w:ind w:right="1128"/>
        <w:rPr>
          <w:rFonts w:ascii="Arial" w:hAnsi="Arial" w:cs="Arial"/>
        </w:rPr>
      </w:pPr>
    </w:p>
    <w:p w14:paraId="54DCBCD4" w14:textId="35CD716B" w:rsidR="00353431" w:rsidRDefault="00353431" w:rsidP="00651DFC">
      <w:pPr>
        <w:ind w:right="1128"/>
        <w:rPr>
          <w:rFonts w:ascii="Arial" w:hAnsi="Arial" w:cs="Arial"/>
          <w:b/>
          <w:bCs/>
          <w:color w:val="808080" w:themeColor="background1" w:themeShade="80"/>
          <w:sz w:val="20"/>
          <w:szCs w:val="20"/>
        </w:rPr>
      </w:pPr>
    </w:p>
    <w:p w14:paraId="4AA22249" w14:textId="3FA5C0A8" w:rsidR="00114F26" w:rsidRPr="00E12CE4" w:rsidRDefault="00114F26" w:rsidP="00651DF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490A24A8" w14:textId="5301845F" w:rsidR="00114F26" w:rsidRPr="00E12CE4"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machines agricoles et espaces verts. L’entreprise dirigée par ses propriétaires emploie 2 000 salariés sur neuf sites de production différents en Allemagne, France, Russie et Hongrie. Les outils de préparation du sol, les semoirs, les épandeurs d’engrais et les pulvérisateurs font partie de la gamme de production des machines agricoles. La technique de binage SCHMOTZER fait partie du groupe AMAZONE depuis 2019. Sur la base de ces compétences clés, AMAZONE est aujourd’hui le spécialiste pour une "agriculture durable". Autres informations : </w:t>
      </w:r>
      <w:hyperlink r:id="rId10" w:history="1">
        <w:r w:rsidR="009119D4" w:rsidRPr="00FB20E2">
          <w:rPr>
            <w:rStyle w:val="Hyperlink"/>
            <w:rFonts w:ascii="Arial" w:hAnsi="Arial"/>
            <w:sz w:val="20"/>
          </w:rPr>
          <w:t>www.amazone.net/fr</w:t>
        </w:r>
      </w:hyperlink>
    </w:p>
    <w:p w14:paraId="252D2E94" w14:textId="77777777" w:rsidR="00A46482"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noProof/>
          <w:color w:val="0563C1"/>
          <w:lang w:val="de-DE"/>
        </w:rPr>
        <w:drawing>
          <wp:inline distT="0" distB="0" distL="0" distR="0" wp14:anchorId="3232BA44" wp14:editId="67A1B58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DA73A41" wp14:editId="31F2BE02">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844C388" wp14:editId="0E097AC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56E5A95" wp14:editId="1DB3C5BC">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2115B03" wp14:editId="6470335A">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651DFC">
      <w:headerReference w:type="default" r:id="rId26"/>
      <w:footerReference w:type="default" r:id="rId27"/>
      <w:pgSz w:w="11901" w:h="16840" w:code="9"/>
      <w:pgMar w:top="1276"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2729E" w14:textId="77777777" w:rsidR="00E51971" w:rsidRDefault="00E51971">
      <w:r>
        <w:separator/>
      </w:r>
    </w:p>
  </w:endnote>
  <w:endnote w:type="continuationSeparator" w:id="0">
    <w:p w14:paraId="162D47C0" w14:textId="77777777" w:rsidR="00E51971" w:rsidRDefault="00E5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119D4">
                            <w:rPr>
                              <w:rFonts w:ascii="Arial" w:hAnsi="Arial"/>
                              <w:noProof/>
                              <w:sz w:val="20"/>
                            </w:rPr>
                            <w:t>5</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119D4">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119D4">
                      <w:rPr>
                        <w:rFonts w:ascii="Arial" w:hAnsi="Arial"/>
                        <w:noProof/>
                        <w:sz w:val="20"/>
                      </w:rPr>
                      <w:t>5</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119D4">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579911C9" w:rsidR="005E0980" w:rsidRPr="00356492" w:rsidRDefault="005E0980" w:rsidP="006F7755">
                          <w:pPr>
                            <w:spacing w:line="280" w:lineRule="exact"/>
                            <w:rPr>
                              <w:rFonts w:ascii="Arial" w:hAnsi="Arial"/>
                              <w:spacing w:val="2"/>
                              <w:sz w:val="20"/>
                            </w:rPr>
                          </w:pPr>
                          <w:r>
                            <w:rPr>
                              <w:rFonts w:ascii="Arial" w:hAnsi="Arial"/>
                              <w:sz w:val="20"/>
                            </w:rPr>
                            <w:t>Tél. : +49 (0)5405 501-0 ∙ am</w:t>
                          </w:r>
                          <w:r w:rsidR="009119D4">
                            <w:rPr>
                              <w:rFonts w:ascii="Arial" w:hAnsi="Arial"/>
                              <w:sz w:val="20"/>
                            </w:rPr>
                            <w:t>azone@amazone.de ∙ www.amazone.net/fr</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579911C9" w:rsidR="005E0980" w:rsidRPr="00356492" w:rsidRDefault="005E0980" w:rsidP="006F7755">
                    <w:pPr>
                      <w:spacing w:line="280" w:lineRule="exact"/>
                      <w:rPr>
                        <w:rFonts w:ascii="Arial" w:hAnsi="Arial"/>
                        <w:spacing w:val="2"/>
                        <w:sz w:val="20"/>
                      </w:rPr>
                    </w:pPr>
                    <w:r>
                      <w:rPr>
                        <w:rFonts w:ascii="Arial" w:hAnsi="Arial"/>
                        <w:sz w:val="20"/>
                      </w:rPr>
                      <w:t>Tél. : +49 (0)5405 501-0 ∙ am</w:t>
                    </w:r>
                    <w:r w:rsidR="009119D4">
                      <w:rPr>
                        <w:rFonts w:ascii="Arial" w:hAnsi="Arial"/>
                        <w:sz w:val="20"/>
                      </w:rPr>
                      <w:t>azone@amazone.de ∙ www.amazone.net/fr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AECB" w14:textId="77777777" w:rsidR="00E51971" w:rsidRDefault="00E51971">
      <w:r>
        <w:separator/>
      </w:r>
    </w:p>
  </w:footnote>
  <w:footnote w:type="continuationSeparator" w:id="0">
    <w:p w14:paraId="576865D7" w14:textId="77777777" w:rsidR="00E51971" w:rsidRDefault="00E51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rFonts w:ascii="Arial" w:hAnsi="Arial"/>
                              <w:color w:val="FFFFFF" w:themeColor="background1"/>
                              <w:sz w:val="28"/>
                            </w:rPr>
                            <w:t>Communiqué de presse mars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rFonts w:ascii="Arial" w:hAnsi="Arial"/>
                        <w:color w:val="FFFFFF" w:themeColor="background1"/>
                        <w:sz w:val="28"/>
                      </w:rPr>
                      <w:t>Communiqué de presse mars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6A323B"/>
    <w:multiLevelType w:val="hybridMultilevel"/>
    <w:tmpl w:val="B668366A"/>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44F"/>
    <w:rsid w:val="000008BF"/>
    <w:rsid w:val="0000280B"/>
    <w:rsid w:val="00003E4F"/>
    <w:rsid w:val="000047C6"/>
    <w:rsid w:val="0000547E"/>
    <w:rsid w:val="000055DA"/>
    <w:rsid w:val="0000569A"/>
    <w:rsid w:val="00005750"/>
    <w:rsid w:val="000057B1"/>
    <w:rsid w:val="00005A76"/>
    <w:rsid w:val="00005B61"/>
    <w:rsid w:val="00005C32"/>
    <w:rsid w:val="00006782"/>
    <w:rsid w:val="00012B71"/>
    <w:rsid w:val="00013C90"/>
    <w:rsid w:val="000148C6"/>
    <w:rsid w:val="000205BE"/>
    <w:rsid w:val="00020A73"/>
    <w:rsid w:val="00022927"/>
    <w:rsid w:val="00022EA9"/>
    <w:rsid w:val="000247F3"/>
    <w:rsid w:val="00024BCC"/>
    <w:rsid w:val="00025378"/>
    <w:rsid w:val="00026025"/>
    <w:rsid w:val="000272A1"/>
    <w:rsid w:val="000272F0"/>
    <w:rsid w:val="0003063E"/>
    <w:rsid w:val="00030781"/>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522"/>
    <w:rsid w:val="00045886"/>
    <w:rsid w:val="00047CDD"/>
    <w:rsid w:val="0005011E"/>
    <w:rsid w:val="000504B0"/>
    <w:rsid w:val="000507C9"/>
    <w:rsid w:val="00052915"/>
    <w:rsid w:val="00053599"/>
    <w:rsid w:val="0005389A"/>
    <w:rsid w:val="00054904"/>
    <w:rsid w:val="000558D6"/>
    <w:rsid w:val="00056589"/>
    <w:rsid w:val="00057C80"/>
    <w:rsid w:val="00060747"/>
    <w:rsid w:val="00061F15"/>
    <w:rsid w:val="00062B82"/>
    <w:rsid w:val="00063402"/>
    <w:rsid w:val="00064C64"/>
    <w:rsid w:val="00065CAA"/>
    <w:rsid w:val="00066F1F"/>
    <w:rsid w:val="00070765"/>
    <w:rsid w:val="00072139"/>
    <w:rsid w:val="0007256B"/>
    <w:rsid w:val="00073DE2"/>
    <w:rsid w:val="00074193"/>
    <w:rsid w:val="000750D6"/>
    <w:rsid w:val="0007594F"/>
    <w:rsid w:val="00080817"/>
    <w:rsid w:val="00084480"/>
    <w:rsid w:val="00085DC9"/>
    <w:rsid w:val="000936F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13B9"/>
    <w:rsid w:val="0010274B"/>
    <w:rsid w:val="00103228"/>
    <w:rsid w:val="00103E69"/>
    <w:rsid w:val="00104BF1"/>
    <w:rsid w:val="0010579C"/>
    <w:rsid w:val="00105F78"/>
    <w:rsid w:val="001076DF"/>
    <w:rsid w:val="0011025F"/>
    <w:rsid w:val="00110789"/>
    <w:rsid w:val="00110EAB"/>
    <w:rsid w:val="00112EDB"/>
    <w:rsid w:val="0011333E"/>
    <w:rsid w:val="00113932"/>
    <w:rsid w:val="00114367"/>
    <w:rsid w:val="00114719"/>
    <w:rsid w:val="0011495E"/>
    <w:rsid w:val="00114C20"/>
    <w:rsid w:val="00114F26"/>
    <w:rsid w:val="0012269E"/>
    <w:rsid w:val="00123BBE"/>
    <w:rsid w:val="0012682A"/>
    <w:rsid w:val="00126BDB"/>
    <w:rsid w:val="00126F6D"/>
    <w:rsid w:val="0012731C"/>
    <w:rsid w:val="0013080E"/>
    <w:rsid w:val="00131235"/>
    <w:rsid w:val="00131E90"/>
    <w:rsid w:val="00134061"/>
    <w:rsid w:val="001351D0"/>
    <w:rsid w:val="00136F8F"/>
    <w:rsid w:val="001418C0"/>
    <w:rsid w:val="001433A0"/>
    <w:rsid w:val="001434B2"/>
    <w:rsid w:val="00143B0A"/>
    <w:rsid w:val="00143FD2"/>
    <w:rsid w:val="0014435F"/>
    <w:rsid w:val="00146749"/>
    <w:rsid w:val="001469E2"/>
    <w:rsid w:val="00147389"/>
    <w:rsid w:val="001474C3"/>
    <w:rsid w:val="00147A4A"/>
    <w:rsid w:val="00147ECA"/>
    <w:rsid w:val="0015120B"/>
    <w:rsid w:val="00151C95"/>
    <w:rsid w:val="00152479"/>
    <w:rsid w:val="00152A75"/>
    <w:rsid w:val="00152ED1"/>
    <w:rsid w:val="0015323F"/>
    <w:rsid w:val="00153352"/>
    <w:rsid w:val="00153DE1"/>
    <w:rsid w:val="001550D7"/>
    <w:rsid w:val="001550F6"/>
    <w:rsid w:val="001561EA"/>
    <w:rsid w:val="00157608"/>
    <w:rsid w:val="00157995"/>
    <w:rsid w:val="00161CDE"/>
    <w:rsid w:val="0016211A"/>
    <w:rsid w:val="00162EFC"/>
    <w:rsid w:val="00164471"/>
    <w:rsid w:val="00165E49"/>
    <w:rsid w:val="00166C2E"/>
    <w:rsid w:val="00170B9E"/>
    <w:rsid w:val="0017285C"/>
    <w:rsid w:val="00173686"/>
    <w:rsid w:val="00175B5E"/>
    <w:rsid w:val="001764F2"/>
    <w:rsid w:val="00176D24"/>
    <w:rsid w:val="00177C1F"/>
    <w:rsid w:val="00177E22"/>
    <w:rsid w:val="00182044"/>
    <w:rsid w:val="001823BD"/>
    <w:rsid w:val="001830D9"/>
    <w:rsid w:val="0018511B"/>
    <w:rsid w:val="00185E00"/>
    <w:rsid w:val="00187777"/>
    <w:rsid w:val="00187DF2"/>
    <w:rsid w:val="001926C2"/>
    <w:rsid w:val="00194AE4"/>
    <w:rsid w:val="0019571A"/>
    <w:rsid w:val="001A0746"/>
    <w:rsid w:val="001A09C4"/>
    <w:rsid w:val="001A3703"/>
    <w:rsid w:val="001A47FA"/>
    <w:rsid w:val="001A4CDA"/>
    <w:rsid w:val="001A588C"/>
    <w:rsid w:val="001A5E5D"/>
    <w:rsid w:val="001A6A59"/>
    <w:rsid w:val="001A7DC4"/>
    <w:rsid w:val="001B0125"/>
    <w:rsid w:val="001B0C18"/>
    <w:rsid w:val="001B270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4B25"/>
    <w:rsid w:val="001C7171"/>
    <w:rsid w:val="001C79D7"/>
    <w:rsid w:val="001D1363"/>
    <w:rsid w:val="001D37F0"/>
    <w:rsid w:val="001D6B80"/>
    <w:rsid w:val="001D6DAF"/>
    <w:rsid w:val="001E1E5A"/>
    <w:rsid w:val="001E2675"/>
    <w:rsid w:val="001E27E7"/>
    <w:rsid w:val="001E4DC2"/>
    <w:rsid w:val="001E6EDA"/>
    <w:rsid w:val="001E7DCB"/>
    <w:rsid w:val="001F0C4B"/>
    <w:rsid w:val="001F10DE"/>
    <w:rsid w:val="001F2C8E"/>
    <w:rsid w:val="001F301A"/>
    <w:rsid w:val="001F3AF7"/>
    <w:rsid w:val="001F4D94"/>
    <w:rsid w:val="001F60F7"/>
    <w:rsid w:val="001F6110"/>
    <w:rsid w:val="001F62AF"/>
    <w:rsid w:val="001F682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A1D"/>
    <w:rsid w:val="00242FD7"/>
    <w:rsid w:val="00243BBA"/>
    <w:rsid w:val="00243E74"/>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36B"/>
    <w:rsid w:val="0028387B"/>
    <w:rsid w:val="00286CAE"/>
    <w:rsid w:val="00286F63"/>
    <w:rsid w:val="002902E3"/>
    <w:rsid w:val="002906A8"/>
    <w:rsid w:val="00293D32"/>
    <w:rsid w:val="00293D96"/>
    <w:rsid w:val="0029513E"/>
    <w:rsid w:val="002959B4"/>
    <w:rsid w:val="00295EFE"/>
    <w:rsid w:val="00297096"/>
    <w:rsid w:val="002A08F9"/>
    <w:rsid w:val="002A2D94"/>
    <w:rsid w:val="002A4ADB"/>
    <w:rsid w:val="002A51A7"/>
    <w:rsid w:val="002A65B1"/>
    <w:rsid w:val="002A71E4"/>
    <w:rsid w:val="002B0482"/>
    <w:rsid w:val="002B48D1"/>
    <w:rsid w:val="002B600B"/>
    <w:rsid w:val="002B6601"/>
    <w:rsid w:val="002B6AB1"/>
    <w:rsid w:val="002B6C23"/>
    <w:rsid w:val="002B7690"/>
    <w:rsid w:val="002B7843"/>
    <w:rsid w:val="002B7E60"/>
    <w:rsid w:val="002C1CA3"/>
    <w:rsid w:val="002C29BD"/>
    <w:rsid w:val="002C3B05"/>
    <w:rsid w:val="002C7462"/>
    <w:rsid w:val="002D3B27"/>
    <w:rsid w:val="002D3FE0"/>
    <w:rsid w:val="002D4245"/>
    <w:rsid w:val="002D4394"/>
    <w:rsid w:val="002D542A"/>
    <w:rsid w:val="002D7C07"/>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00E"/>
    <w:rsid w:val="002F53E9"/>
    <w:rsid w:val="002F54BD"/>
    <w:rsid w:val="002F58F1"/>
    <w:rsid w:val="002F5B4F"/>
    <w:rsid w:val="002F6BC8"/>
    <w:rsid w:val="0030035B"/>
    <w:rsid w:val="00300C6C"/>
    <w:rsid w:val="00302020"/>
    <w:rsid w:val="003021BE"/>
    <w:rsid w:val="003030AE"/>
    <w:rsid w:val="00306834"/>
    <w:rsid w:val="00306BA2"/>
    <w:rsid w:val="0031032C"/>
    <w:rsid w:val="0031078F"/>
    <w:rsid w:val="003123B7"/>
    <w:rsid w:val="003132FB"/>
    <w:rsid w:val="003156BE"/>
    <w:rsid w:val="003158E6"/>
    <w:rsid w:val="00316911"/>
    <w:rsid w:val="003171E2"/>
    <w:rsid w:val="003203EE"/>
    <w:rsid w:val="00320F24"/>
    <w:rsid w:val="00321245"/>
    <w:rsid w:val="00322003"/>
    <w:rsid w:val="00330541"/>
    <w:rsid w:val="0033102D"/>
    <w:rsid w:val="003375ED"/>
    <w:rsid w:val="003400A3"/>
    <w:rsid w:val="003418E1"/>
    <w:rsid w:val="00341EBA"/>
    <w:rsid w:val="00343381"/>
    <w:rsid w:val="00343E6D"/>
    <w:rsid w:val="00344BE6"/>
    <w:rsid w:val="00344E30"/>
    <w:rsid w:val="00346826"/>
    <w:rsid w:val="00347783"/>
    <w:rsid w:val="00350B0F"/>
    <w:rsid w:val="00351F02"/>
    <w:rsid w:val="00353431"/>
    <w:rsid w:val="00353CEF"/>
    <w:rsid w:val="0035450A"/>
    <w:rsid w:val="0035596C"/>
    <w:rsid w:val="00356492"/>
    <w:rsid w:val="00364C64"/>
    <w:rsid w:val="003657C8"/>
    <w:rsid w:val="00366CAA"/>
    <w:rsid w:val="003671CB"/>
    <w:rsid w:val="00370CBC"/>
    <w:rsid w:val="00371B65"/>
    <w:rsid w:val="00371C85"/>
    <w:rsid w:val="00373BCA"/>
    <w:rsid w:val="00375B0A"/>
    <w:rsid w:val="0038102A"/>
    <w:rsid w:val="00383B42"/>
    <w:rsid w:val="003852C1"/>
    <w:rsid w:val="00386B8D"/>
    <w:rsid w:val="00391D61"/>
    <w:rsid w:val="003924AF"/>
    <w:rsid w:val="00393134"/>
    <w:rsid w:val="00394C3D"/>
    <w:rsid w:val="00395B05"/>
    <w:rsid w:val="00395BAA"/>
    <w:rsid w:val="003A0758"/>
    <w:rsid w:val="003A0F8B"/>
    <w:rsid w:val="003A1DBE"/>
    <w:rsid w:val="003A3ADD"/>
    <w:rsid w:val="003A5336"/>
    <w:rsid w:val="003A62C5"/>
    <w:rsid w:val="003A6A3E"/>
    <w:rsid w:val="003B05A5"/>
    <w:rsid w:val="003B1CDE"/>
    <w:rsid w:val="003B20F2"/>
    <w:rsid w:val="003B4998"/>
    <w:rsid w:val="003B4C18"/>
    <w:rsid w:val="003B6008"/>
    <w:rsid w:val="003B6232"/>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6190"/>
    <w:rsid w:val="003E77E7"/>
    <w:rsid w:val="003F07A2"/>
    <w:rsid w:val="003F0E72"/>
    <w:rsid w:val="003F0EE2"/>
    <w:rsid w:val="003F1171"/>
    <w:rsid w:val="003F1353"/>
    <w:rsid w:val="003F309D"/>
    <w:rsid w:val="003F3899"/>
    <w:rsid w:val="003F4774"/>
    <w:rsid w:val="003F47B0"/>
    <w:rsid w:val="003F501A"/>
    <w:rsid w:val="003F6BB2"/>
    <w:rsid w:val="00401B17"/>
    <w:rsid w:val="00401E95"/>
    <w:rsid w:val="00403E33"/>
    <w:rsid w:val="0040433A"/>
    <w:rsid w:val="0040570C"/>
    <w:rsid w:val="0040591D"/>
    <w:rsid w:val="004062FE"/>
    <w:rsid w:val="004079B9"/>
    <w:rsid w:val="00410006"/>
    <w:rsid w:val="00410130"/>
    <w:rsid w:val="00411277"/>
    <w:rsid w:val="00411404"/>
    <w:rsid w:val="00412D1B"/>
    <w:rsid w:val="0041306D"/>
    <w:rsid w:val="004130A7"/>
    <w:rsid w:val="00413859"/>
    <w:rsid w:val="0041402A"/>
    <w:rsid w:val="004155DD"/>
    <w:rsid w:val="0041587B"/>
    <w:rsid w:val="00415D98"/>
    <w:rsid w:val="00415F06"/>
    <w:rsid w:val="0041630E"/>
    <w:rsid w:val="00417474"/>
    <w:rsid w:val="0042193D"/>
    <w:rsid w:val="00425508"/>
    <w:rsid w:val="0043270D"/>
    <w:rsid w:val="00434861"/>
    <w:rsid w:val="00435862"/>
    <w:rsid w:val="0043678E"/>
    <w:rsid w:val="004377F1"/>
    <w:rsid w:val="00437D02"/>
    <w:rsid w:val="00440B98"/>
    <w:rsid w:val="00441673"/>
    <w:rsid w:val="00441AFA"/>
    <w:rsid w:val="004428EA"/>
    <w:rsid w:val="00446E63"/>
    <w:rsid w:val="00447C09"/>
    <w:rsid w:val="004501EA"/>
    <w:rsid w:val="004503C7"/>
    <w:rsid w:val="0045366A"/>
    <w:rsid w:val="004538E0"/>
    <w:rsid w:val="00453E98"/>
    <w:rsid w:val="004554BE"/>
    <w:rsid w:val="00455758"/>
    <w:rsid w:val="004564A0"/>
    <w:rsid w:val="00460A83"/>
    <w:rsid w:val="00461E41"/>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4E1"/>
    <w:rsid w:val="00482C7E"/>
    <w:rsid w:val="004841F0"/>
    <w:rsid w:val="00484219"/>
    <w:rsid w:val="00484610"/>
    <w:rsid w:val="00486B0D"/>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0579"/>
    <w:rsid w:val="004C185E"/>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5303"/>
    <w:rsid w:val="004F2D35"/>
    <w:rsid w:val="004F412A"/>
    <w:rsid w:val="004F50C0"/>
    <w:rsid w:val="004F601B"/>
    <w:rsid w:val="004F67FD"/>
    <w:rsid w:val="004F6911"/>
    <w:rsid w:val="004F6B58"/>
    <w:rsid w:val="00500703"/>
    <w:rsid w:val="0050164F"/>
    <w:rsid w:val="005028BE"/>
    <w:rsid w:val="0050395F"/>
    <w:rsid w:val="00503C63"/>
    <w:rsid w:val="00504514"/>
    <w:rsid w:val="00507858"/>
    <w:rsid w:val="005103DC"/>
    <w:rsid w:val="00510A20"/>
    <w:rsid w:val="00510E7F"/>
    <w:rsid w:val="00510F64"/>
    <w:rsid w:val="00511359"/>
    <w:rsid w:val="0051442B"/>
    <w:rsid w:val="00515380"/>
    <w:rsid w:val="00517789"/>
    <w:rsid w:val="0051779D"/>
    <w:rsid w:val="00521C0A"/>
    <w:rsid w:val="00522471"/>
    <w:rsid w:val="00522B57"/>
    <w:rsid w:val="005231C4"/>
    <w:rsid w:val="00523E82"/>
    <w:rsid w:val="00526D75"/>
    <w:rsid w:val="0052709A"/>
    <w:rsid w:val="00527A56"/>
    <w:rsid w:val="00527D01"/>
    <w:rsid w:val="00530D82"/>
    <w:rsid w:val="005319E6"/>
    <w:rsid w:val="00531F4D"/>
    <w:rsid w:val="00532E2E"/>
    <w:rsid w:val="0053332E"/>
    <w:rsid w:val="00533B44"/>
    <w:rsid w:val="00534972"/>
    <w:rsid w:val="00536562"/>
    <w:rsid w:val="00540AC2"/>
    <w:rsid w:val="00541DA3"/>
    <w:rsid w:val="005422D1"/>
    <w:rsid w:val="00542C76"/>
    <w:rsid w:val="00545223"/>
    <w:rsid w:val="00547C11"/>
    <w:rsid w:val="0055044D"/>
    <w:rsid w:val="00552A6F"/>
    <w:rsid w:val="005543C9"/>
    <w:rsid w:val="00554D0D"/>
    <w:rsid w:val="00555280"/>
    <w:rsid w:val="00556983"/>
    <w:rsid w:val="00556D16"/>
    <w:rsid w:val="0055709C"/>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E2D"/>
    <w:rsid w:val="00595C48"/>
    <w:rsid w:val="00597574"/>
    <w:rsid w:val="00597F5F"/>
    <w:rsid w:val="005A008E"/>
    <w:rsid w:val="005A0202"/>
    <w:rsid w:val="005A0EF7"/>
    <w:rsid w:val="005A13AB"/>
    <w:rsid w:val="005A26F1"/>
    <w:rsid w:val="005A2977"/>
    <w:rsid w:val="005A3575"/>
    <w:rsid w:val="005A3F68"/>
    <w:rsid w:val="005A48EE"/>
    <w:rsid w:val="005A510B"/>
    <w:rsid w:val="005A5535"/>
    <w:rsid w:val="005A5606"/>
    <w:rsid w:val="005A5731"/>
    <w:rsid w:val="005A5A06"/>
    <w:rsid w:val="005A5FEF"/>
    <w:rsid w:val="005A7057"/>
    <w:rsid w:val="005A7C7B"/>
    <w:rsid w:val="005A7DBD"/>
    <w:rsid w:val="005B0182"/>
    <w:rsid w:val="005B0BAD"/>
    <w:rsid w:val="005B4503"/>
    <w:rsid w:val="005B4965"/>
    <w:rsid w:val="005B548A"/>
    <w:rsid w:val="005B6D0D"/>
    <w:rsid w:val="005B71B7"/>
    <w:rsid w:val="005C1D46"/>
    <w:rsid w:val="005C277B"/>
    <w:rsid w:val="005C2CD4"/>
    <w:rsid w:val="005C3063"/>
    <w:rsid w:val="005C3540"/>
    <w:rsid w:val="005C3E4D"/>
    <w:rsid w:val="005C6C0D"/>
    <w:rsid w:val="005C7656"/>
    <w:rsid w:val="005C7B15"/>
    <w:rsid w:val="005D0183"/>
    <w:rsid w:val="005D05A4"/>
    <w:rsid w:val="005D1CAE"/>
    <w:rsid w:val="005D2365"/>
    <w:rsid w:val="005D242F"/>
    <w:rsid w:val="005D4A16"/>
    <w:rsid w:val="005D5380"/>
    <w:rsid w:val="005D587C"/>
    <w:rsid w:val="005D5AB4"/>
    <w:rsid w:val="005D624B"/>
    <w:rsid w:val="005E0980"/>
    <w:rsid w:val="005E1500"/>
    <w:rsid w:val="005E2376"/>
    <w:rsid w:val="005E5C4B"/>
    <w:rsid w:val="005E62F4"/>
    <w:rsid w:val="005E79F7"/>
    <w:rsid w:val="005F0AE3"/>
    <w:rsid w:val="005F0C40"/>
    <w:rsid w:val="005F16D2"/>
    <w:rsid w:val="005F18BD"/>
    <w:rsid w:val="005F7033"/>
    <w:rsid w:val="005F7267"/>
    <w:rsid w:val="00600350"/>
    <w:rsid w:val="00601972"/>
    <w:rsid w:val="00604D9C"/>
    <w:rsid w:val="00604DA3"/>
    <w:rsid w:val="006113A9"/>
    <w:rsid w:val="006123F0"/>
    <w:rsid w:val="006129A9"/>
    <w:rsid w:val="00612E9F"/>
    <w:rsid w:val="00615634"/>
    <w:rsid w:val="006208D6"/>
    <w:rsid w:val="00620B88"/>
    <w:rsid w:val="00620FD7"/>
    <w:rsid w:val="00621088"/>
    <w:rsid w:val="006276C3"/>
    <w:rsid w:val="00627F1D"/>
    <w:rsid w:val="00630959"/>
    <w:rsid w:val="00630F4C"/>
    <w:rsid w:val="00631089"/>
    <w:rsid w:val="00632B65"/>
    <w:rsid w:val="00633078"/>
    <w:rsid w:val="00633705"/>
    <w:rsid w:val="006358EA"/>
    <w:rsid w:val="006365E5"/>
    <w:rsid w:val="0063767A"/>
    <w:rsid w:val="0064037A"/>
    <w:rsid w:val="006407F3"/>
    <w:rsid w:val="0064180E"/>
    <w:rsid w:val="00641DBC"/>
    <w:rsid w:val="00643CBA"/>
    <w:rsid w:val="00644D00"/>
    <w:rsid w:val="0064542A"/>
    <w:rsid w:val="0064692D"/>
    <w:rsid w:val="006476AE"/>
    <w:rsid w:val="006504D5"/>
    <w:rsid w:val="00651DF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4F3E"/>
    <w:rsid w:val="0067568F"/>
    <w:rsid w:val="006767D7"/>
    <w:rsid w:val="00677AC9"/>
    <w:rsid w:val="0068029D"/>
    <w:rsid w:val="006803B9"/>
    <w:rsid w:val="00681310"/>
    <w:rsid w:val="00682DA3"/>
    <w:rsid w:val="00683B17"/>
    <w:rsid w:val="0069283F"/>
    <w:rsid w:val="00692B88"/>
    <w:rsid w:val="00692DA8"/>
    <w:rsid w:val="006940F6"/>
    <w:rsid w:val="00695C4D"/>
    <w:rsid w:val="0069613D"/>
    <w:rsid w:val="006978CD"/>
    <w:rsid w:val="006A0519"/>
    <w:rsid w:val="006A0C55"/>
    <w:rsid w:val="006A28C0"/>
    <w:rsid w:val="006A3145"/>
    <w:rsid w:val="006A6622"/>
    <w:rsid w:val="006A6691"/>
    <w:rsid w:val="006A6B90"/>
    <w:rsid w:val="006A7523"/>
    <w:rsid w:val="006A7C72"/>
    <w:rsid w:val="006B0021"/>
    <w:rsid w:val="006B05AC"/>
    <w:rsid w:val="006B2B3F"/>
    <w:rsid w:val="006B55B3"/>
    <w:rsid w:val="006B6D05"/>
    <w:rsid w:val="006C0F90"/>
    <w:rsid w:val="006C12AF"/>
    <w:rsid w:val="006C341C"/>
    <w:rsid w:val="006D0DB0"/>
    <w:rsid w:val="006D24A3"/>
    <w:rsid w:val="006D2A85"/>
    <w:rsid w:val="006D2EDE"/>
    <w:rsid w:val="006D2F24"/>
    <w:rsid w:val="006D34DC"/>
    <w:rsid w:val="006D4215"/>
    <w:rsid w:val="006D482B"/>
    <w:rsid w:val="006D5DE3"/>
    <w:rsid w:val="006D6692"/>
    <w:rsid w:val="006E08AB"/>
    <w:rsid w:val="006E21AA"/>
    <w:rsid w:val="006E33BB"/>
    <w:rsid w:val="006E3615"/>
    <w:rsid w:val="006E596F"/>
    <w:rsid w:val="006E6C7E"/>
    <w:rsid w:val="006E7669"/>
    <w:rsid w:val="006E7A0C"/>
    <w:rsid w:val="006F1451"/>
    <w:rsid w:val="006F1538"/>
    <w:rsid w:val="006F5010"/>
    <w:rsid w:val="006F7755"/>
    <w:rsid w:val="006F7B0C"/>
    <w:rsid w:val="00700551"/>
    <w:rsid w:val="0070072F"/>
    <w:rsid w:val="007012B0"/>
    <w:rsid w:val="00701ABC"/>
    <w:rsid w:val="00702874"/>
    <w:rsid w:val="00706A1F"/>
    <w:rsid w:val="00706C81"/>
    <w:rsid w:val="00710F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37802"/>
    <w:rsid w:val="007411A0"/>
    <w:rsid w:val="00741380"/>
    <w:rsid w:val="0074152E"/>
    <w:rsid w:val="00741FB2"/>
    <w:rsid w:val="00744A7E"/>
    <w:rsid w:val="00744D82"/>
    <w:rsid w:val="00750690"/>
    <w:rsid w:val="007510DD"/>
    <w:rsid w:val="007523C4"/>
    <w:rsid w:val="0075365E"/>
    <w:rsid w:val="00754A48"/>
    <w:rsid w:val="00756992"/>
    <w:rsid w:val="00757E8C"/>
    <w:rsid w:val="007602A7"/>
    <w:rsid w:val="00760B66"/>
    <w:rsid w:val="00760BD7"/>
    <w:rsid w:val="00760ECB"/>
    <w:rsid w:val="00761764"/>
    <w:rsid w:val="007671EC"/>
    <w:rsid w:val="00770F01"/>
    <w:rsid w:val="0077173E"/>
    <w:rsid w:val="00771DA9"/>
    <w:rsid w:val="00776D54"/>
    <w:rsid w:val="0078043A"/>
    <w:rsid w:val="00784F72"/>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BD0"/>
    <w:rsid w:val="008059F7"/>
    <w:rsid w:val="008063E3"/>
    <w:rsid w:val="008069D3"/>
    <w:rsid w:val="00814E24"/>
    <w:rsid w:val="0081561D"/>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4B8"/>
    <w:rsid w:val="00834A33"/>
    <w:rsid w:val="00834BED"/>
    <w:rsid w:val="00835080"/>
    <w:rsid w:val="008356AE"/>
    <w:rsid w:val="00835D98"/>
    <w:rsid w:val="00841287"/>
    <w:rsid w:val="00841879"/>
    <w:rsid w:val="00842694"/>
    <w:rsid w:val="00842C5D"/>
    <w:rsid w:val="008437E6"/>
    <w:rsid w:val="00843D17"/>
    <w:rsid w:val="00844F2A"/>
    <w:rsid w:val="00845A2B"/>
    <w:rsid w:val="00845B96"/>
    <w:rsid w:val="00846049"/>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335"/>
    <w:rsid w:val="008773C5"/>
    <w:rsid w:val="0088211C"/>
    <w:rsid w:val="00882549"/>
    <w:rsid w:val="00883D42"/>
    <w:rsid w:val="00884996"/>
    <w:rsid w:val="00885B7D"/>
    <w:rsid w:val="00887231"/>
    <w:rsid w:val="00887686"/>
    <w:rsid w:val="008914EF"/>
    <w:rsid w:val="00891CD0"/>
    <w:rsid w:val="008921D5"/>
    <w:rsid w:val="0089410B"/>
    <w:rsid w:val="00895458"/>
    <w:rsid w:val="00896818"/>
    <w:rsid w:val="00897C79"/>
    <w:rsid w:val="008A0983"/>
    <w:rsid w:val="008A0EE5"/>
    <w:rsid w:val="008A414C"/>
    <w:rsid w:val="008A7806"/>
    <w:rsid w:val="008A7EE2"/>
    <w:rsid w:val="008B2A4F"/>
    <w:rsid w:val="008B46CC"/>
    <w:rsid w:val="008B55FD"/>
    <w:rsid w:val="008B574D"/>
    <w:rsid w:val="008B601A"/>
    <w:rsid w:val="008B6364"/>
    <w:rsid w:val="008B6BF1"/>
    <w:rsid w:val="008B71F9"/>
    <w:rsid w:val="008B7980"/>
    <w:rsid w:val="008C0371"/>
    <w:rsid w:val="008C05C3"/>
    <w:rsid w:val="008C2317"/>
    <w:rsid w:val="008C2908"/>
    <w:rsid w:val="008C3736"/>
    <w:rsid w:val="008C3A7A"/>
    <w:rsid w:val="008C50E7"/>
    <w:rsid w:val="008C5427"/>
    <w:rsid w:val="008C610C"/>
    <w:rsid w:val="008C6DC7"/>
    <w:rsid w:val="008D0B53"/>
    <w:rsid w:val="008D0F01"/>
    <w:rsid w:val="008D0FC4"/>
    <w:rsid w:val="008D1DD4"/>
    <w:rsid w:val="008D1E95"/>
    <w:rsid w:val="008D59C9"/>
    <w:rsid w:val="008D5CC5"/>
    <w:rsid w:val="008D67AA"/>
    <w:rsid w:val="008D7813"/>
    <w:rsid w:val="008D7EDE"/>
    <w:rsid w:val="008E16F1"/>
    <w:rsid w:val="008E2078"/>
    <w:rsid w:val="008E26EA"/>
    <w:rsid w:val="008E416F"/>
    <w:rsid w:val="008E4FBE"/>
    <w:rsid w:val="008E4FE2"/>
    <w:rsid w:val="008E605B"/>
    <w:rsid w:val="008E7382"/>
    <w:rsid w:val="008F17E1"/>
    <w:rsid w:val="008F2038"/>
    <w:rsid w:val="008F363A"/>
    <w:rsid w:val="008F3BCA"/>
    <w:rsid w:val="008F5D70"/>
    <w:rsid w:val="00903BD1"/>
    <w:rsid w:val="009056AA"/>
    <w:rsid w:val="00910A7E"/>
    <w:rsid w:val="009119D4"/>
    <w:rsid w:val="00911D0D"/>
    <w:rsid w:val="0091315F"/>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379E"/>
    <w:rsid w:val="00934036"/>
    <w:rsid w:val="00936828"/>
    <w:rsid w:val="0093732C"/>
    <w:rsid w:val="00937D13"/>
    <w:rsid w:val="00940BE0"/>
    <w:rsid w:val="00941C52"/>
    <w:rsid w:val="00945661"/>
    <w:rsid w:val="00950621"/>
    <w:rsid w:val="00950EB4"/>
    <w:rsid w:val="0095138F"/>
    <w:rsid w:val="0095250D"/>
    <w:rsid w:val="009529E2"/>
    <w:rsid w:val="00953486"/>
    <w:rsid w:val="0095366E"/>
    <w:rsid w:val="00953945"/>
    <w:rsid w:val="00953E3B"/>
    <w:rsid w:val="00957108"/>
    <w:rsid w:val="00960265"/>
    <w:rsid w:val="0096108D"/>
    <w:rsid w:val="009613BE"/>
    <w:rsid w:val="00964E5C"/>
    <w:rsid w:val="009675BD"/>
    <w:rsid w:val="00970890"/>
    <w:rsid w:val="009725D6"/>
    <w:rsid w:val="00972808"/>
    <w:rsid w:val="009728A4"/>
    <w:rsid w:val="00974341"/>
    <w:rsid w:val="00974FF7"/>
    <w:rsid w:val="00975FA5"/>
    <w:rsid w:val="00982DD1"/>
    <w:rsid w:val="0098571E"/>
    <w:rsid w:val="00985D4D"/>
    <w:rsid w:val="00986F49"/>
    <w:rsid w:val="00991C50"/>
    <w:rsid w:val="00991D62"/>
    <w:rsid w:val="00994FBF"/>
    <w:rsid w:val="009963CC"/>
    <w:rsid w:val="00997972"/>
    <w:rsid w:val="009A0956"/>
    <w:rsid w:val="009A2C67"/>
    <w:rsid w:val="009A42FB"/>
    <w:rsid w:val="009A5723"/>
    <w:rsid w:val="009A5BC4"/>
    <w:rsid w:val="009A668A"/>
    <w:rsid w:val="009A7349"/>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21C4"/>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9A7"/>
    <w:rsid w:val="009F7CB2"/>
    <w:rsid w:val="00A004DD"/>
    <w:rsid w:val="00A035AF"/>
    <w:rsid w:val="00A049A0"/>
    <w:rsid w:val="00A0794D"/>
    <w:rsid w:val="00A1027B"/>
    <w:rsid w:val="00A10512"/>
    <w:rsid w:val="00A13169"/>
    <w:rsid w:val="00A16777"/>
    <w:rsid w:val="00A16D39"/>
    <w:rsid w:val="00A25385"/>
    <w:rsid w:val="00A25D04"/>
    <w:rsid w:val="00A263F0"/>
    <w:rsid w:val="00A27032"/>
    <w:rsid w:val="00A3125B"/>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5F83"/>
    <w:rsid w:val="00A57A2A"/>
    <w:rsid w:val="00A60193"/>
    <w:rsid w:val="00A62065"/>
    <w:rsid w:val="00A638A2"/>
    <w:rsid w:val="00A70034"/>
    <w:rsid w:val="00A74116"/>
    <w:rsid w:val="00A74C0A"/>
    <w:rsid w:val="00A765FC"/>
    <w:rsid w:val="00A7722F"/>
    <w:rsid w:val="00A774B8"/>
    <w:rsid w:val="00A7757F"/>
    <w:rsid w:val="00A77631"/>
    <w:rsid w:val="00A77B93"/>
    <w:rsid w:val="00A77D84"/>
    <w:rsid w:val="00A8027F"/>
    <w:rsid w:val="00A81BB0"/>
    <w:rsid w:val="00A826E4"/>
    <w:rsid w:val="00A83EE4"/>
    <w:rsid w:val="00A8472A"/>
    <w:rsid w:val="00A84A1A"/>
    <w:rsid w:val="00A855F8"/>
    <w:rsid w:val="00A86AAC"/>
    <w:rsid w:val="00A87F91"/>
    <w:rsid w:val="00A90303"/>
    <w:rsid w:val="00A90440"/>
    <w:rsid w:val="00A90B2D"/>
    <w:rsid w:val="00A91153"/>
    <w:rsid w:val="00A914AA"/>
    <w:rsid w:val="00A93115"/>
    <w:rsid w:val="00A9375A"/>
    <w:rsid w:val="00A93922"/>
    <w:rsid w:val="00A94394"/>
    <w:rsid w:val="00A945EF"/>
    <w:rsid w:val="00A9566A"/>
    <w:rsid w:val="00AA18BB"/>
    <w:rsid w:val="00AA1D65"/>
    <w:rsid w:val="00AA2ACC"/>
    <w:rsid w:val="00AA39EA"/>
    <w:rsid w:val="00AA3DD2"/>
    <w:rsid w:val="00AA41F8"/>
    <w:rsid w:val="00AA444E"/>
    <w:rsid w:val="00AA4A84"/>
    <w:rsid w:val="00AA4C35"/>
    <w:rsid w:val="00AA54A5"/>
    <w:rsid w:val="00AA575F"/>
    <w:rsid w:val="00AA5F67"/>
    <w:rsid w:val="00AA6C4F"/>
    <w:rsid w:val="00AA6FB0"/>
    <w:rsid w:val="00AB0145"/>
    <w:rsid w:val="00AB0C7F"/>
    <w:rsid w:val="00AB1899"/>
    <w:rsid w:val="00AB18CC"/>
    <w:rsid w:val="00AB24DC"/>
    <w:rsid w:val="00AB24F3"/>
    <w:rsid w:val="00AB458C"/>
    <w:rsid w:val="00AB7511"/>
    <w:rsid w:val="00AC04A2"/>
    <w:rsid w:val="00AC13F0"/>
    <w:rsid w:val="00AC147A"/>
    <w:rsid w:val="00AC1948"/>
    <w:rsid w:val="00AC2FEB"/>
    <w:rsid w:val="00AC4035"/>
    <w:rsid w:val="00AC4C25"/>
    <w:rsid w:val="00AC4FDA"/>
    <w:rsid w:val="00AC5950"/>
    <w:rsid w:val="00AC6EE2"/>
    <w:rsid w:val="00AC702A"/>
    <w:rsid w:val="00AC7AF5"/>
    <w:rsid w:val="00AD0821"/>
    <w:rsid w:val="00AD0A4E"/>
    <w:rsid w:val="00AD2461"/>
    <w:rsid w:val="00AD3A37"/>
    <w:rsid w:val="00AD57F3"/>
    <w:rsid w:val="00AD6132"/>
    <w:rsid w:val="00AE1EBD"/>
    <w:rsid w:val="00AE2247"/>
    <w:rsid w:val="00AE2E57"/>
    <w:rsid w:val="00AE4B94"/>
    <w:rsid w:val="00AE5352"/>
    <w:rsid w:val="00AE63B9"/>
    <w:rsid w:val="00AF0DDC"/>
    <w:rsid w:val="00AF26DC"/>
    <w:rsid w:val="00AF313B"/>
    <w:rsid w:val="00AF53BE"/>
    <w:rsid w:val="00AF55DB"/>
    <w:rsid w:val="00AF5BA8"/>
    <w:rsid w:val="00AF6249"/>
    <w:rsid w:val="00AF62BE"/>
    <w:rsid w:val="00AF640C"/>
    <w:rsid w:val="00AF6F58"/>
    <w:rsid w:val="00AF7DDA"/>
    <w:rsid w:val="00B004CF"/>
    <w:rsid w:val="00B0163F"/>
    <w:rsid w:val="00B02CA2"/>
    <w:rsid w:val="00B037DF"/>
    <w:rsid w:val="00B04529"/>
    <w:rsid w:val="00B04F02"/>
    <w:rsid w:val="00B06453"/>
    <w:rsid w:val="00B067A9"/>
    <w:rsid w:val="00B117F2"/>
    <w:rsid w:val="00B12047"/>
    <w:rsid w:val="00B120E9"/>
    <w:rsid w:val="00B1395A"/>
    <w:rsid w:val="00B14395"/>
    <w:rsid w:val="00B14882"/>
    <w:rsid w:val="00B15CE5"/>
    <w:rsid w:val="00B15EA3"/>
    <w:rsid w:val="00B17884"/>
    <w:rsid w:val="00B2045B"/>
    <w:rsid w:val="00B20461"/>
    <w:rsid w:val="00B2086D"/>
    <w:rsid w:val="00B21158"/>
    <w:rsid w:val="00B21209"/>
    <w:rsid w:val="00B232D0"/>
    <w:rsid w:val="00B240AC"/>
    <w:rsid w:val="00B260EC"/>
    <w:rsid w:val="00B311B3"/>
    <w:rsid w:val="00B31B44"/>
    <w:rsid w:val="00B329E6"/>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097B"/>
    <w:rsid w:val="00B7141D"/>
    <w:rsid w:val="00B71767"/>
    <w:rsid w:val="00B7337D"/>
    <w:rsid w:val="00B74954"/>
    <w:rsid w:val="00B76870"/>
    <w:rsid w:val="00B76947"/>
    <w:rsid w:val="00B773D2"/>
    <w:rsid w:val="00B7791D"/>
    <w:rsid w:val="00B7793F"/>
    <w:rsid w:val="00B80DA2"/>
    <w:rsid w:val="00B81EDD"/>
    <w:rsid w:val="00B82774"/>
    <w:rsid w:val="00B83231"/>
    <w:rsid w:val="00B84850"/>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BF7D9C"/>
    <w:rsid w:val="00C0251B"/>
    <w:rsid w:val="00C02FDC"/>
    <w:rsid w:val="00C03699"/>
    <w:rsid w:val="00C03BD8"/>
    <w:rsid w:val="00C05439"/>
    <w:rsid w:val="00C0560B"/>
    <w:rsid w:val="00C05B74"/>
    <w:rsid w:val="00C0668B"/>
    <w:rsid w:val="00C1069D"/>
    <w:rsid w:val="00C1481C"/>
    <w:rsid w:val="00C2029F"/>
    <w:rsid w:val="00C20F17"/>
    <w:rsid w:val="00C20FFC"/>
    <w:rsid w:val="00C211C3"/>
    <w:rsid w:val="00C2160C"/>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D0"/>
    <w:rsid w:val="00C51513"/>
    <w:rsid w:val="00C51769"/>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85D4C"/>
    <w:rsid w:val="00C91AD5"/>
    <w:rsid w:val="00C921AC"/>
    <w:rsid w:val="00C95132"/>
    <w:rsid w:val="00C96874"/>
    <w:rsid w:val="00C96F66"/>
    <w:rsid w:val="00CA018E"/>
    <w:rsid w:val="00CA0A3F"/>
    <w:rsid w:val="00CA1297"/>
    <w:rsid w:val="00CA1443"/>
    <w:rsid w:val="00CA2160"/>
    <w:rsid w:val="00CA2E2A"/>
    <w:rsid w:val="00CA5846"/>
    <w:rsid w:val="00CA5C81"/>
    <w:rsid w:val="00CA5DD9"/>
    <w:rsid w:val="00CA5DE1"/>
    <w:rsid w:val="00CB26FC"/>
    <w:rsid w:val="00CB3961"/>
    <w:rsid w:val="00CB4725"/>
    <w:rsid w:val="00CB5517"/>
    <w:rsid w:val="00CB5585"/>
    <w:rsid w:val="00CB5586"/>
    <w:rsid w:val="00CB6619"/>
    <w:rsid w:val="00CB6909"/>
    <w:rsid w:val="00CB701C"/>
    <w:rsid w:val="00CB7278"/>
    <w:rsid w:val="00CC02B0"/>
    <w:rsid w:val="00CC126C"/>
    <w:rsid w:val="00CC23F0"/>
    <w:rsid w:val="00CC66D1"/>
    <w:rsid w:val="00CD1CC7"/>
    <w:rsid w:val="00CD53D2"/>
    <w:rsid w:val="00CD7020"/>
    <w:rsid w:val="00CD7C8B"/>
    <w:rsid w:val="00CE20C9"/>
    <w:rsid w:val="00CE264E"/>
    <w:rsid w:val="00CE491E"/>
    <w:rsid w:val="00CE6430"/>
    <w:rsid w:val="00CE6721"/>
    <w:rsid w:val="00CE6A41"/>
    <w:rsid w:val="00CE70E4"/>
    <w:rsid w:val="00CF0A71"/>
    <w:rsid w:val="00CF0CB0"/>
    <w:rsid w:val="00CF3AD0"/>
    <w:rsid w:val="00CF3FBF"/>
    <w:rsid w:val="00CF4B64"/>
    <w:rsid w:val="00D01C20"/>
    <w:rsid w:val="00D03153"/>
    <w:rsid w:val="00D039F9"/>
    <w:rsid w:val="00D04276"/>
    <w:rsid w:val="00D04711"/>
    <w:rsid w:val="00D05560"/>
    <w:rsid w:val="00D060BF"/>
    <w:rsid w:val="00D10DE2"/>
    <w:rsid w:val="00D118EC"/>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17"/>
    <w:rsid w:val="00D52ABC"/>
    <w:rsid w:val="00D62B7C"/>
    <w:rsid w:val="00D62FE8"/>
    <w:rsid w:val="00D63365"/>
    <w:rsid w:val="00D636F5"/>
    <w:rsid w:val="00D6455E"/>
    <w:rsid w:val="00D667C2"/>
    <w:rsid w:val="00D706D6"/>
    <w:rsid w:val="00D706D9"/>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4206"/>
    <w:rsid w:val="00DB5213"/>
    <w:rsid w:val="00DB62AD"/>
    <w:rsid w:val="00DB7084"/>
    <w:rsid w:val="00DB79E1"/>
    <w:rsid w:val="00DB7CD1"/>
    <w:rsid w:val="00DC0628"/>
    <w:rsid w:val="00DC0D9B"/>
    <w:rsid w:val="00DC1F6A"/>
    <w:rsid w:val="00DC25ED"/>
    <w:rsid w:val="00DC29C3"/>
    <w:rsid w:val="00DC31C3"/>
    <w:rsid w:val="00DC3B01"/>
    <w:rsid w:val="00DC4084"/>
    <w:rsid w:val="00DC4412"/>
    <w:rsid w:val="00DC53E0"/>
    <w:rsid w:val="00DC5EE7"/>
    <w:rsid w:val="00DC736D"/>
    <w:rsid w:val="00DD0A86"/>
    <w:rsid w:val="00DD366B"/>
    <w:rsid w:val="00DD394E"/>
    <w:rsid w:val="00DD430B"/>
    <w:rsid w:val="00DD482B"/>
    <w:rsid w:val="00DD6BE1"/>
    <w:rsid w:val="00DD7B4E"/>
    <w:rsid w:val="00DD7E7A"/>
    <w:rsid w:val="00DE077A"/>
    <w:rsid w:val="00DE1111"/>
    <w:rsid w:val="00DE1C65"/>
    <w:rsid w:val="00DE2D96"/>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68EC"/>
    <w:rsid w:val="00E12CE4"/>
    <w:rsid w:val="00E12DCB"/>
    <w:rsid w:val="00E12F89"/>
    <w:rsid w:val="00E143BD"/>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39"/>
    <w:rsid w:val="00E44961"/>
    <w:rsid w:val="00E46381"/>
    <w:rsid w:val="00E46F37"/>
    <w:rsid w:val="00E4772D"/>
    <w:rsid w:val="00E503DA"/>
    <w:rsid w:val="00E50CD8"/>
    <w:rsid w:val="00E51971"/>
    <w:rsid w:val="00E52F94"/>
    <w:rsid w:val="00E5382C"/>
    <w:rsid w:val="00E53991"/>
    <w:rsid w:val="00E547F7"/>
    <w:rsid w:val="00E54C4B"/>
    <w:rsid w:val="00E60959"/>
    <w:rsid w:val="00E609E8"/>
    <w:rsid w:val="00E60F4C"/>
    <w:rsid w:val="00E62546"/>
    <w:rsid w:val="00E63E0B"/>
    <w:rsid w:val="00E64735"/>
    <w:rsid w:val="00E6564F"/>
    <w:rsid w:val="00E66546"/>
    <w:rsid w:val="00E66804"/>
    <w:rsid w:val="00E66DBE"/>
    <w:rsid w:val="00E67FE5"/>
    <w:rsid w:val="00E7188A"/>
    <w:rsid w:val="00E735A8"/>
    <w:rsid w:val="00E73697"/>
    <w:rsid w:val="00E73FE0"/>
    <w:rsid w:val="00E76908"/>
    <w:rsid w:val="00E76AB5"/>
    <w:rsid w:val="00E76ABA"/>
    <w:rsid w:val="00E76DDD"/>
    <w:rsid w:val="00E77E76"/>
    <w:rsid w:val="00E81D17"/>
    <w:rsid w:val="00E828CD"/>
    <w:rsid w:val="00E82B25"/>
    <w:rsid w:val="00E869C9"/>
    <w:rsid w:val="00E934C0"/>
    <w:rsid w:val="00E93E4A"/>
    <w:rsid w:val="00E940B2"/>
    <w:rsid w:val="00E9487C"/>
    <w:rsid w:val="00E953F2"/>
    <w:rsid w:val="00E954AD"/>
    <w:rsid w:val="00E97658"/>
    <w:rsid w:val="00EA00A7"/>
    <w:rsid w:val="00EA0CD0"/>
    <w:rsid w:val="00EA1C8E"/>
    <w:rsid w:val="00EA35A2"/>
    <w:rsid w:val="00EA63A7"/>
    <w:rsid w:val="00EA6DCE"/>
    <w:rsid w:val="00EA76FC"/>
    <w:rsid w:val="00EB2775"/>
    <w:rsid w:val="00EB27C5"/>
    <w:rsid w:val="00EB49A8"/>
    <w:rsid w:val="00EC21BE"/>
    <w:rsid w:val="00EC38EB"/>
    <w:rsid w:val="00EC635D"/>
    <w:rsid w:val="00EC648D"/>
    <w:rsid w:val="00EC6551"/>
    <w:rsid w:val="00EC74E6"/>
    <w:rsid w:val="00EC7B7C"/>
    <w:rsid w:val="00ED00C4"/>
    <w:rsid w:val="00ED1240"/>
    <w:rsid w:val="00ED13CA"/>
    <w:rsid w:val="00ED14F1"/>
    <w:rsid w:val="00EE0AD5"/>
    <w:rsid w:val="00EE253D"/>
    <w:rsid w:val="00EE2691"/>
    <w:rsid w:val="00EE37EF"/>
    <w:rsid w:val="00EE5530"/>
    <w:rsid w:val="00EE5612"/>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5ADE"/>
    <w:rsid w:val="00F2696A"/>
    <w:rsid w:val="00F27394"/>
    <w:rsid w:val="00F3206D"/>
    <w:rsid w:val="00F3365D"/>
    <w:rsid w:val="00F34074"/>
    <w:rsid w:val="00F35B89"/>
    <w:rsid w:val="00F36BC3"/>
    <w:rsid w:val="00F374F7"/>
    <w:rsid w:val="00F40A18"/>
    <w:rsid w:val="00F42F23"/>
    <w:rsid w:val="00F43119"/>
    <w:rsid w:val="00F43E3C"/>
    <w:rsid w:val="00F452A2"/>
    <w:rsid w:val="00F4615F"/>
    <w:rsid w:val="00F4628B"/>
    <w:rsid w:val="00F50A75"/>
    <w:rsid w:val="00F51A72"/>
    <w:rsid w:val="00F5248D"/>
    <w:rsid w:val="00F53B5D"/>
    <w:rsid w:val="00F54237"/>
    <w:rsid w:val="00F5519B"/>
    <w:rsid w:val="00F552DB"/>
    <w:rsid w:val="00F565A1"/>
    <w:rsid w:val="00F57E88"/>
    <w:rsid w:val="00F57F74"/>
    <w:rsid w:val="00F605B6"/>
    <w:rsid w:val="00F61632"/>
    <w:rsid w:val="00F61B06"/>
    <w:rsid w:val="00F6206B"/>
    <w:rsid w:val="00F657A8"/>
    <w:rsid w:val="00F65A62"/>
    <w:rsid w:val="00F670F6"/>
    <w:rsid w:val="00F6774C"/>
    <w:rsid w:val="00F67834"/>
    <w:rsid w:val="00F709AF"/>
    <w:rsid w:val="00F71206"/>
    <w:rsid w:val="00F73AAA"/>
    <w:rsid w:val="00F7525F"/>
    <w:rsid w:val="00F8079B"/>
    <w:rsid w:val="00F80F29"/>
    <w:rsid w:val="00F8399A"/>
    <w:rsid w:val="00F87739"/>
    <w:rsid w:val="00F923C5"/>
    <w:rsid w:val="00F93065"/>
    <w:rsid w:val="00F93DB3"/>
    <w:rsid w:val="00F94A25"/>
    <w:rsid w:val="00F96279"/>
    <w:rsid w:val="00F968EE"/>
    <w:rsid w:val="00F9691A"/>
    <w:rsid w:val="00F96B1E"/>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3C9"/>
    <w:rsid w:val="00FD06E8"/>
    <w:rsid w:val="00FD2295"/>
    <w:rsid w:val="00FD2924"/>
    <w:rsid w:val="00FD4291"/>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598F"/>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B665F-13B6-4135-86C5-B3148AEDC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869</Words>
  <Characters>4814</Characters>
  <Application>Microsoft Office Word</Application>
  <DocSecurity>0</DocSecurity>
  <Lines>40</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2021-12-07T19:32:00Z</dcterms:created>
  <dcterms:modified xsi:type="dcterms:W3CDTF">2022-04-20T07:58:00Z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